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6623C3" w:rsidRDefault="006623C3" w:rsidP="006623C3">
      <w:pPr>
        <w:spacing w:line="480" w:lineRule="auto"/>
        <w:jc w:val="center"/>
        <w:rPr>
          <w:rFonts w:ascii="Times New Roman" w:hAnsi="Times New Roman" w:cs="Times New Roman"/>
          <w:sz w:val="24"/>
          <w:szCs w:val="24"/>
        </w:rPr>
      </w:pPr>
    </w:p>
    <w:p w:rsidR="0080412D" w:rsidRDefault="00FF4886" w:rsidP="006623C3">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Insurance Plan</w:t>
      </w:r>
    </w:p>
    <w:p w:rsidR="006623C3" w:rsidRDefault="006623C3" w:rsidP="006623C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623C3" w:rsidRDefault="006623C3" w:rsidP="006623C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23C3" w:rsidRPr="006623C3" w:rsidRDefault="006623C3" w:rsidP="006623C3">
      <w:pPr>
        <w:rPr>
          <w:rFonts w:ascii="Times New Roman" w:hAnsi="Times New Roman" w:cs="Times New Roman"/>
          <w:sz w:val="24"/>
          <w:szCs w:val="24"/>
        </w:rPr>
      </w:pPr>
    </w:p>
    <w:p w:rsidR="006623C3" w:rsidRPr="006623C3" w:rsidRDefault="006623C3" w:rsidP="006623C3">
      <w:pPr>
        <w:rPr>
          <w:rFonts w:ascii="Times New Roman" w:hAnsi="Times New Roman" w:cs="Times New Roman"/>
          <w:sz w:val="24"/>
          <w:szCs w:val="24"/>
        </w:rPr>
      </w:pPr>
    </w:p>
    <w:p w:rsidR="006623C3" w:rsidRPr="006623C3" w:rsidRDefault="006623C3" w:rsidP="006623C3">
      <w:pPr>
        <w:rPr>
          <w:rFonts w:ascii="Times New Roman" w:hAnsi="Times New Roman" w:cs="Times New Roman"/>
          <w:sz w:val="24"/>
          <w:szCs w:val="24"/>
        </w:rPr>
      </w:pPr>
    </w:p>
    <w:p w:rsidR="006623C3" w:rsidRPr="006623C3" w:rsidRDefault="006623C3" w:rsidP="006623C3">
      <w:pPr>
        <w:rPr>
          <w:rFonts w:ascii="Times New Roman" w:hAnsi="Times New Roman" w:cs="Times New Roman"/>
          <w:sz w:val="24"/>
          <w:szCs w:val="24"/>
        </w:rPr>
      </w:pPr>
    </w:p>
    <w:p w:rsidR="006623C3" w:rsidRDefault="006623C3" w:rsidP="006623C3">
      <w:pPr>
        <w:rPr>
          <w:rFonts w:ascii="Times New Roman" w:hAnsi="Times New Roman" w:cs="Times New Roman"/>
          <w:sz w:val="24"/>
          <w:szCs w:val="24"/>
        </w:rPr>
      </w:pPr>
    </w:p>
    <w:p w:rsidR="006623C3" w:rsidRDefault="006623C3" w:rsidP="006623C3">
      <w:pPr>
        <w:rPr>
          <w:rFonts w:ascii="Times New Roman" w:hAnsi="Times New Roman" w:cs="Times New Roman"/>
          <w:sz w:val="24"/>
          <w:szCs w:val="24"/>
        </w:rPr>
      </w:pPr>
    </w:p>
    <w:p w:rsidR="006623C3" w:rsidRDefault="006623C3" w:rsidP="006623C3">
      <w:pPr>
        <w:rPr>
          <w:rFonts w:ascii="Times New Roman" w:hAnsi="Times New Roman" w:cs="Times New Roman"/>
          <w:sz w:val="24"/>
          <w:szCs w:val="24"/>
        </w:rPr>
      </w:pPr>
    </w:p>
    <w:p w:rsidR="006623C3" w:rsidRDefault="006623C3" w:rsidP="006623C3">
      <w:pPr>
        <w:rPr>
          <w:rFonts w:ascii="Times New Roman" w:hAnsi="Times New Roman" w:cs="Times New Roman"/>
          <w:sz w:val="24"/>
          <w:szCs w:val="24"/>
        </w:rPr>
      </w:pPr>
    </w:p>
    <w:p w:rsidR="006623C3" w:rsidRDefault="006623C3" w:rsidP="006623C3">
      <w:pPr>
        <w:rPr>
          <w:rFonts w:ascii="Times New Roman" w:hAnsi="Times New Roman" w:cs="Times New Roman"/>
          <w:sz w:val="24"/>
          <w:szCs w:val="24"/>
        </w:rPr>
      </w:pPr>
    </w:p>
    <w:p w:rsidR="006623C3" w:rsidRDefault="00FF4886" w:rsidP="003820C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 Insurance </w:t>
      </w:r>
    </w:p>
    <w:p w:rsidR="003820C3" w:rsidRPr="003820C3" w:rsidRDefault="003820C3" w:rsidP="003820C3">
      <w:pPr>
        <w:spacing w:line="480" w:lineRule="auto"/>
        <w:ind w:firstLine="720"/>
        <w:rPr>
          <w:rFonts w:ascii="Times New Roman" w:hAnsi="Times New Roman" w:cs="Times New Roman"/>
          <w:sz w:val="24"/>
          <w:szCs w:val="24"/>
        </w:rPr>
      </w:pPr>
      <w:r w:rsidRPr="003820C3">
        <w:rPr>
          <w:rFonts w:ascii="Times New Roman" w:hAnsi="Times New Roman" w:cs="Times New Roman"/>
          <w:sz w:val="24"/>
          <w:szCs w:val="24"/>
        </w:rPr>
        <w:t>The mother can qualify for special enrollment plans in 2019 that are exclusive from the Open Enrollment Period (OEP). The mother has experienced a life event that has led to the loss of her job; consequently, triggering the Special Enrollment Period (SEP) of 2019. SEP is a health insurance timeline that lasts for approximately a year. The mother will need to provide documentation of her job loss to qualify for health coverage. In this regard, she can sign up for Medicaid or Children’s Health Insurance Program (CHIP) that can be justified since she had a job and had group coverage. Besides, she was enjoying COBRA benefits for the timeline she was covered, but she is uncertain what to do after she lost her job. She can sign up at any time while still covered by COBRA depending on her employment status (Health Markets, 2019). The SEP starts immediately an employee is terminated and lasts for eight months. She has just lost her job, and she is legible to apply for Medicare or CHIP within the SEP. She can also opt to apply for the Medicaid insurance plan after the group health coverage ends.</w:t>
      </w:r>
    </w:p>
    <w:p w:rsidR="003820C3" w:rsidRPr="003820C3" w:rsidRDefault="003820C3" w:rsidP="003820C3">
      <w:pPr>
        <w:spacing w:line="480" w:lineRule="auto"/>
        <w:rPr>
          <w:rFonts w:ascii="Times New Roman" w:hAnsi="Times New Roman" w:cs="Times New Roman"/>
          <w:sz w:val="24"/>
          <w:szCs w:val="24"/>
        </w:rPr>
      </w:pPr>
      <w:r w:rsidRPr="003820C3">
        <w:rPr>
          <w:rFonts w:ascii="Times New Roman" w:hAnsi="Times New Roman" w:cs="Times New Roman"/>
          <w:sz w:val="24"/>
          <w:szCs w:val="24"/>
        </w:rPr>
        <w:t xml:space="preserve">    </w:t>
      </w:r>
      <w:r>
        <w:rPr>
          <w:rFonts w:ascii="Times New Roman" w:hAnsi="Times New Roman" w:cs="Times New Roman"/>
          <w:sz w:val="24"/>
          <w:szCs w:val="24"/>
        </w:rPr>
        <w:tab/>
      </w:r>
      <w:r w:rsidRPr="003820C3">
        <w:rPr>
          <w:rFonts w:ascii="Times New Roman" w:hAnsi="Times New Roman" w:cs="Times New Roman"/>
          <w:sz w:val="24"/>
          <w:szCs w:val="24"/>
        </w:rPr>
        <w:t xml:space="preserve">Moreover, she can justify the application of Medicare under the involuntary loss of COBRA coverage since it triggers a SEP. The coverage that is being lost can only trigger a SEP since it is minimum essential coverage. COBRA meets the requirement; as a result, making the mother eligible (Norris, 2018). COBRA is a long-term coverage, and it can come to an end at any time. COBRA meets the minimum essential coverage threshold since any plan under Obamacare qualifies for the same. Unfortunately, it is likely to end soon after the mother has lost her job. COBRA offers the continuation of benefits to laid-off employees for specific timelines. </w:t>
      </w:r>
    </w:p>
    <w:p w:rsidR="003820C3" w:rsidRPr="003820C3" w:rsidRDefault="003820C3" w:rsidP="003820C3">
      <w:pPr>
        <w:spacing w:line="480" w:lineRule="auto"/>
        <w:rPr>
          <w:rFonts w:ascii="Times New Roman" w:hAnsi="Times New Roman" w:cs="Times New Roman"/>
          <w:sz w:val="24"/>
          <w:szCs w:val="24"/>
        </w:rPr>
      </w:pPr>
      <w:r w:rsidRPr="003820C3">
        <w:rPr>
          <w:rFonts w:ascii="Times New Roman" w:hAnsi="Times New Roman" w:cs="Times New Roman"/>
          <w:sz w:val="24"/>
          <w:szCs w:val="24"/>
        </w:rPr>
        <w:t xml:space="preserve">    Based on the evidence provided above, the mother is eligible for Medicaid plan that covers millions of people that have low incomes, persons with disabilities, pregnant mothers, and the </w:t>
      </w:r>
      <w:r w:rsidRPr="003820C3">
        <w:rPr>
          <w:rFonts w:ascii="Times New Roman" w:hAnsi="Times New Roman" w:cs="Times New Roman"/>
          <w:sz w:val="24"/>
          <w:szCs w:val="24"/>
        </w:rPr>
        <w:lastRenderedPageBreak/>
        <w:t xml:space="preserve">elderly (Medicaid.gov, n. d). The mother after losing her job, she can be categorized as low-income earner since she has no source of income. She will have to call a Medicaid representative to begin coverage as soon as possible. She can sign up for Medicaid based on financial eligibility since the representative will consider her tax filing relationships and taxable income. She meets the federal and income standards; therefore, Medicaid can be used to meet her medical needs in the future before she finds another job. Besides, she is unemployed and a parent; Medicaid will be the best insurance alternative based on her financial status (HealthCare.gov, n. d). The mother is a parent and has a child; therefore, she qualifies for the Children’s Health Insurance Program (CHIP). The CHIP plan will provide coverage for the children since her income is too low to afford private insurance. </w:t>
      </w:r>
    </w:p>
    <w:p w:rsidR="006623C3" w:rsidRDefault="003820C3" w:rsidP="003820C3">
      <w:pPr>
        <w:spacing w:line="480" w:lineRule="auto"/>
        <w:rPr>
          <w:rFonts w:ascii="Times New Roman" w:hAnsi="Times New Roman" w:cs="Times New Roman"/>
          <w:sz w:val="24"/>
          <w:szCs w:val="24"/>
        </w:rPr>
      </w:pPr>
      <w:r w:rsidRPr="003820C3">
        <w:rPr>
          <w:rFonts w:ascii="Times New Roman" w:hAnsi="Times New Roman" w:cs="Times New Roman"/>
          <w:sz w:val="24"/>
          <w:szCs w:val="24"/>
        </w:rPr>
        <w:t xml:space="preserve">    </w:t>
      </w:r>
      <w:r>
        <w:rPr>
          <w:rFonts w:ascii="Times New Roman" w:hAnsi="Times New Roman" w:cs="Times New Roman"/>
          <w:sz w:val="24"/>
          <w:szCs w:val="24"/>
        </w:rPr>
        <w:tab/>
      </w:r>
      <w:r w:rsidRPr="003820C3">
        <w:rPr>
          <w:rFonts w:ascii="Times New Roman" w:hAnsi="Times New Roman" w:cs="Times New Roman"/>
          <w:sz w:val="24"/>
          <w:szCs w:val="24"/>
        </w:rPr>
        <w:t>In conclusion, after the thorough analysis of the insurance marketplace, Medicaid is the best insurance option for the mother based on her savings and the size of her household. Medicaid has expanded over the years and state can provide him with Medicaid coverage since she is among the individuals that are living below stipulated income levels. Even though she might feel the pinch of losing her job immediately due to her savings, she is likely to have financial difficulties since she has no income.</w:t>
      </w:r>
    </w:p>
    <w:p w:rsidR="00E236C7" w:rsidRDefault="00E236C7" w:rsidP="006623C3">
      <w:pPr>
        <w:rPr>
          <w:rFonts w:ascii="Times New Roman" w:hAnsi="Times New Roman" w:cs="Times New Roman"/>
          <w:sz w:val="24"/>
          <w:szCs w:val="24"/>
        </w:rPr>
      </w:pPr>
    </w:p>
    <w:p w:rsidR="00E236C7" w:rsidRDefault="00E236C7" w:rsidP="006623C3">
      <w:pPr>
        <w:rPr>
          <w:rFonts w:ascii="Times New Roman" w:hAnsi="Times New Roman" w:cs="Times New Roman"/>
          <w:sz w:val="24"/>
          <w:szCs w:val="24"/>
        </w:rPr>
      </w:pPr>
    </w:p>
    <w:p w:rsidR="00E236C7" w:rsidRDefault="00E236C7" w:rsidP="006623C3">
      <w:pPr>
        <w:rPr>
          <w:rFonts w:ascii="Times New Roman" w:hAnsi="Times New Roman" w:cs="Times New Roman"/>
          <w:sz w:val="24"/>
          <w:szCs w:val="24"/>
        </w:rPr>
      </w:pPr>
    </w:p>
    <w:p w:rsidR="003820C3" w:rsidRDefault="003820C3" w:rsidP="00E236C7">
      <w:pPr>
        <w:jc w:val="center"/>
        <w:rPr>
          <w:rFonts w:ascii="Times New Roman" w:hAnsi="Times New Roman" w:cs="Times New Roman"/>
          <w:sz w:val="24"/>
          <w:szCs w:val="24"/>
        </w:rPr>
      </w:pPr>
    </w:p>
    <w:p w:rsidR="003820C3" w:rsidRDefault="003820C3" w:rsidP="00E236C7">
      <w:pPr>
        <w:jc w:val="center"/>
        <w:rPr>
          <w:rFonts w:ascii="Times New Roman" w:hAnsi="Times New Roman" w:cs="Times New Roman"/>
          <w:sz w:val="24"/>
          <w:szCs w:val="24"/>
        </w:rPr>
      </w:pPr>
    </w:p>
    <w:p w:rsidR="003820C3" w:rsidRDefault="003820C3" w:rsidP="00E236C7">
      <w:pPr>
        <w:jc w:val="center"/>
        <w:rPr>
          <w:rFonts w:ascii="Times New Roman" w:hAnsi="Times New Roman" w:cs="Times New Roman"/>
          <w:sz w:val="24"/>
          <w:szCs w:val="24"/>
        </w:rPr>
      </w:pPr>
    </w:p>
    <w:p w:rsidR="003820C3" w:rsidRDefault="003820C3" w:rsidP="00E236C7">
      <w:pPr>
        <w:jc w:val="center"/>
        <w:rPr>
          <w:rFonts w:ascii="Times New Roman" w:hAnsi="Times New Roman" w:cs="Times New Roman"/>
          <w:sz w:val="24"/>
          <w:szCs w:val="24"/>
        </w:rPr>
      </w:pPr>
    </w:p>
    <w:p w:rsidR="00E236C7" w:rsidRDefault="00E236C7" w:rsidP="00E236C7">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236C7" w:rsidRDefault="00E236C7" w:rsidP="00E236C7">
      <w:pPr>
        <w:rPr>
          <w:rFonts w:ascii="Times New Roman" w:hAnsi="Times New Roman" w:cs="Times New Roman"/>
          <w:sz w:val="24"/>
          <w:szCs w:val="24"/>
        </w:rPr>
      </w:pPr>
      <w:r>
        <w:rPr>
          <w:rFonts w:ascii="Times New Roman" w:hAnsi="Times New Roman" w:cs="Times New Roman"/>
          <w:sz w:val="24"/>
          <w:szCs w:val="24"/>
        </w:rPr>
        <w:t>HealthCare.gov. (n. d). Unemployed people: Health coverage options if you’re unemployed.</w:t>
      </w:r>
    </w:p>
    <w:p w:rsidR="00E236C7" w:rsidRDefault="00E236C7" w:rsidP="00E236C7">
      <w:pPr>
        <w:rPr>
          <w:rFonts w:ascii="Times New Roman" w:hAnsi="Times New Roman" w:cs="Times New Roman"/>
          <w:sz w:val="24"/>
          <w:szCs w:val="24"/>
        </w:rPr>
      </w:pPr>
      <w:r>
        <w:rPr>
          <w:rFonts w:ascii="Times New Roman" w:hAnsi="Times New Roman" w:cs="Times New Roman"/>
          <w:sz w:val="24"/>
          <w:szCs w:val="24"/>
        </w:rPr>
        <w:tab/>
        <w:t>Retrieved from</w:t>
      </w:r>
    </w:p>
    <w:p w:rsidR="00E236C7" w:rsidRDefault="00E236C7" w:rsidP="00E236C7">
      <w:pPr>
        <w:rPr>
          <w:rFonts w:ascii="Times New Roman" w:hAnsi="Times New Roman" w:cs="Times New Roman"/>
          <w:sz w:val="24"/>
          <w:szCs w:val="24"/>
        </w:rPr>
      </w:pPr>
      <w:r>
        <w:rPr>
          <w:rFonts w:ascii="Times New Roman" w:hAnsi="Times New Roman" w:cs="Times New Roman"/>
          <w:sz w:val="24"/>
          <w:szCs w:val="24"/>
        </w:rPr>
        <w:tab/>
      </w:r>
      <w:hyperlink r:id="rId7" w:history="1">
        <w:r w:rsidRPr="00E236C7">
          <w:rPr>
            <w:rStyle w:val="Hyperlink"/>
            <w:rFonts w:ascii="Times New Roman" w:hAnsi="Times New Roman" w:cs="Times New Roman"/>
            <w:sz w:val="24"/>
            <w:szCs w:val="24"/>
          </w:rPr>
          <w:t>https://www.healthcare.gov/unemployed/coverage/</w:t>
        </w:r>
      </w:hyperlink>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Health Markets. (2019). Special Enrollment Period (SEP). Retrieved from</w:t>
      </w:r>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ab/>
      </w:r>
      <w:hyperlink r:id="rId8" w:history="1">
        <w:r w:rsidRPr="00A27C4C">
          <w:rPr>
            <w:rStyle w:val="Hyperlink"/>
            <w:rFonts w:ascii="Times New Roman" w:hAnsi="Times New Roman" w:cs="Times New Roman"/>
            <w:sz w:val="24"/>
            <w:szCs w:val="24"/>
          </w:rPr>
          <w:t>https://www.healthmarkets.com/glossary/special-enrollment-period/</w:t>
        </w:r>
      </w:hyperlink>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Medicaid.gov. (n. d). Eligibility. Retrieved from</w:t>
      </w:r>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ab/>
        <w:t xml:space="preserve"> </w:t>
      </w:r>
      <w:hyperlink r:id="rId9" w:history="1">
        <w:r w:rsidRPr="00A27C4C">
          <w:rPr>
            <w:rStyle w:val="Hyperlink"/>
            <w:rFonts w:ascii="Times New Roman" w:hAnsi="Times New Roman" w:cs="Times New Roman"/>
            <w:sz w:val="24"/>
            <w:szCs w:val="24"/>
          </w:rPr>
          <w:t>https://www.medicaid.gov/medicaid/eligibility/index.html</w:t>
        </w:r>
      </w:hyperlink>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Norris, L. (2018). Involuntary loss of coverage is a qualifying event. Healthinsurance.org.</w:t>
      </w:r>
    </w:p>
    <w:p w:rsidR="00A27C4C" w:rsidRDefault="00A27C4C" w:rsidP="00E236C7">
      <w:pPr>
        <w:rPr>
          <w:rFonts w:ascii="Times New Roman" w:hAnsi="Times New Roman" w:cs="Times New Roman"/>
          <w:sz w:val="24"/>
          <w:szCs w:val="24"/>
        </w:rPr>
      </w:pPr>
      <w:r>
        <w:rPr>
          <w:rFonts w:ascii="Times New Roman" w:hAnsi="Times New Roman" w:cs="Times New Roman"/>
          <w:sz w:val="24"/>
          <w:szCs w:val="24"/>
        </w:rPr>
        <w:tab/>
        <w:t>Retrieved from</w:t>
      </w:r>
    </w:p>
    <w:p w:rsidR="00A27C4C" w:rsidRPr="006623C3" w:rsidRDefault="00A27C4C" w:rsidP="00A27C4C">
      <w:pPr>
        <w:ind w:left="720"/>
        <w:rPr>
          <w:rFonts w:ascii="Times New Roman" w:hAnsi="Times New Roman" w:cs="Times New Roman"/>
          <w:sz w:val="24"/>
          <w:szCs w:val="24"/>
        </w:rPr>
      </w:pPr>
      <w:hyperlink r:id="rId10" w:history="1">
        <w:r w:rsidRPr="009A597E">
          <w:rPr>
            <w:rStyle w:val="Hyperlink"/>
            <w:rFonts w:ascii="Times New Roman" w:hAnsi="Times New Roman" w:cs="Times New Roman"/>
            <w:sz w:val="24"/>
            <w:szCs w:val="24"/>
          </w:rPr>
          <w:t>https://www.healthinsurance.org/special-enrollment-guide/involuntary-loss-of-coverage-is-a-qualifying-event/</w:t>
        </w:r>
      </w:hyperlink>
    </w:p>
    <w:sectPr w:rsidR="00A27C4C" w:rsidRPr="006623C3" w:rsidSect="006623C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F2C" w:rsidRDefault="00BC1F2C" w:rsidP="006623C3">
      <w:pPr>
        <w:spacing w:after="0" w:line="240" w:lineRule="auto"/>
      </w:pPr>
      <w:r>
        <w:separator/>
      </w:r>
    </w:p>
  </w:endnote>
  <w:endnote w:type="continuationSeparator" w:id="0">
    <w:p w:rsidR="00BC1F2C" w:rsidRDefault="00BC1F2C" w:rsidP="0066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F2C" w:rsidRDefault="00BC1F2C" w:rsidP="006623C3">
      <w:pPr>
        <w:spacing w:after="0" w:line="240" w:lineRule="auto"/>
      </w:pPr>
      <w:r>
        <w:separator/>
      </w:r>
    </w:p>
  </w:footnote>
  <w:footnote w:type="continuationSeparator" w:id="0">
    <w:p w:rsidR="00BC1F2C" w:rsidRDefault="00BC1F2C" w:rsidP="006623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3C3" w:rsidRPr="006623C3" w:rsidRDefault="006623C3" w:rsidP="006623C3">
    <w:pPr>
      <w:pStyle w:val="Header"/>
      <w:spacing w:line="480" w:lineRule="auto"/>
      <w:rPr>
        <w:rFonts w:ascii="Times New Roman" w:hAnsi="Times New Roman" w:cs="Times New Roman"/>
        <w:sz w:val="24"/>
        <w:szCs w:val="24"/>
      </w:rPr>
    </w:pPr>
    <w:r w:rsidRPr="006623C3">
      <w:rPr>
        <w:rFonts w:ascii="Times New Roman" w:hAnsi="Times New Roman" w:cs="Times New Roman"/>
        <w:sz w:val="24"/>
        <w:szCs w:val="24"/>
      </w:rPr>
      <w:t>MEDICARE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623C3">
      <w:rPr>
        <w:rFonts w:ascii="Times New Roman" w:hAnsi="Times New Roman" w:cs="Times New Roman"/>
        <w:sz w:val="24"/>
        <w:szCs w:val="24"/>
      </w:rPr>
      <w:t xml:space="preserve"> </w:t>
    </w:r>
    <w:sdt>
      <w:sdtPr>
        <w:rPr>
          <w:rFonts w:ascii="Times New Roman" w:hAnsi="Times New Roman" w:cs="Times New Roman"/>
          <w:sz w:val="24"/>
          <w:szCs w:val="24"/>
        </w:rPr>
        <w:id w:val="-223223460"/>
        <w:docPartObj>
          <w:docPartGallery w:val="Page Numbers (Top of Page)"/>
          <w:docPartUnique/>
        </w:docPartObj>
      </w:sdtPr>
      <w:sdtEndPr>
        <w:rPr>
          <w:noProof/>
        </w:rPr>
      </w:sdtEndPr>
      <w:sdtContent>
        <w:r w:rsidRPr="006623C3">
          <w:rPr>
            <w:rFonts w:ascii="Times New Roman" w:hAnsi="Times New Roman" w:cs="Times New Roman"/>
            <w:sz w:val="24"/>
            <w:szCs w:val="24"/>
          </w:rPr>
          <w:fldChar w:fldCharType="begin"/>
        </w:r>
        <w:r w:rsidRPr="006623C3">
          <w:rPr>
            <w:rFonts w:ascii="Times New Roman" w:hAnsi="Times New Roman" w:cs="Times New Roman"/>
            <w:sz w:val="24"/>
            <w:szCs w:val="24"/>
          </w:rPr>
          <w:instrText xml:space="preserve"> PAGE   \* MERGEFORMAT </w:instrText>
        </w:r>
        <w:r w:rsidRPr="006623C3">
          <w:rPr>
            <w:rFonts w:ascii="Times New Roman" w:hAnsi="Times New Roman" w:cs="Times New Roman"/>
            <w:sz w:val="24"/>
            <w:szCs w:val="24"/>
          </w:rPr>
          <w:fldChar w:fldCharType="separate"/>
        </w:r>
        <w:r w:rsidR="003820C3">
          <w:rPr>
            <w:rFonts w:ascii="Times New Roman" w:hAnsi="Times New Roman" w:cs="Times New Roman"/>
            <w:noProof/>
            <w:sz w:val="24"/>
            <w:szCs w:val="24"/>
          </w:rPr>
          <w:t>4</w:t>
        </w:r>
        <w:r w:rsidRPr="006623C3">
          <w:rPr>
            <w:rFonts w:ascii="Times New Roman" w:hAnsi="Times New Roman" w:cs="Times New Roman"/>
            <w:noProof/>
            <w:sz w:val="24"/>
            <w:szCs w:val="24"/>
          </w:rPr>
          <w:fldChar w:fldCharType="end"/>
        </w:r>
      </w:sdtContent>
    </w:sdt>
  </w:p>
  <w:p w:rsidR="006623C3" w:rsidRDefault="006623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3C3" w:rsidRPr="006623C3" w:rsidRDefault="006623C3" w:rsidP="006623C3">
    <w:pPr>
      <w:pStyle w:val="Header"/>
      <w:spacing w:line="480" w:lineRule="auto"/>
      <w:rPr>
        <w:rFonts w:ascii="Times New Roman" w:hAnsi="Times New Roman" w:cs="Times New Roman"/>
        <w:sz w:val="24"/>
        <w:szCs w:val="24"/>
      </w:rPr>
    </w:pPr>
    <w:r w:rsidRPr="006623C3">
      <w:rPr>
        <w:rFonts w:ascii="Times New Roman" w:hAnsi="Times New Roman" w:cs="Times New Roman"/>
        <w:sz w:val="24"/>
        <w:szCs w:val="24"/>
      </w:rPr>
      <w:t xml:space="preserve">Running head: MEDICARE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38750486"/>
        <w:docPartObj>
          <w:docPartGallery w:val="Page Numbers (Top of Page)"/>
          <w:docPartUnique/>
        </w:docPartObj>
      </w:sdtPr>
      <w:sdtEndPr>
        <w:rPr>
          <w:noProof/>
        </w:rPr>
      </w:sdtEndPr>
      <w:sdtContent>
        <w:r w:rsidRPr="006623C3">
          <w:rPr>
            <w:rFonts w:ascii="Times New Roman" w:hAnsi="Times New Roman" w:cs="Times New Roman"/>
            <w:sz w:val="24"/>
            <w:szCs w:val="24"/>
          </w:rPr>
          <w:fldChar w:fldCharType="begin"/>
        </w:r>
        <w:r w:rsidRPr="006623C3">
          <w:rPr>
            <w:rFonts w:ascii="Times New Roman" w:hAnsi="Times New Roman" w:cs="Times New Roman"/>
            <w:sz w:val="24"/>
            <w:szCs w:val="24"/>
          </w:rPr>
          <w:instrText xml:space="preserve"> PAGE   \* MERGEFORMAT </w:instrText>
        </w:r>
        <w:r w:rsidRPr="006623C3">
          <w:rPr>
            <w:rFonts w:ascii="Times New Roman" w:hAnsi="Times New Roman" w:cs="Times New Roman"/>
            <w:sz w:val="24"/>
            <w:szCs w:val="24"/>
          </w:rPr>
          <w:fldChar w:fldCharType="separate"/>
        </w:r>
        <w:r w:rsidR="003820C3">
          <w:rPr>
            <w:rFonts w:ascii="Times New Roman" w:hAnsi="Times New Roman" w:cs="Times New Roman"/>
            <w:noProof/>
            <w:sz w:val="24"/>
            <w:szCs w:val="24"/>
          </w:rPr>
          <w:t>1</w:t>
        </w:r>
        <w:r w:rsidRPr="006623C3">
          <w:rPr>
            <w:rFonts w:ascii="Times New Roman" w:hAnsi="Times New Roman" w:cs="Times New Roman"/>
            <w:noProof/>
            <w:sz w:val="24"/>
            <w:szCs w:val="24"/>
          </w:rPr>
          <w:fldChar w:fldCharType="end"/>
        </w:r>
      </w:sdtContent>
    </w:sdt>
  </w:p>
  <w:p w:rsidR="006623C3" w:rsidRDefault="006623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3C3"/>
    <w:rsid w:val="001D2666"/>
    <w:rsid w:val="002A03C2"/>
    <w:rsid w:val="00333AEE"/>
    <w:rsid w:val="003820C3"/>
    <w:rsid w:val="006623C3"/>
    <w:rsid w:val="007F5D2F"/>
    <w:rsid w:val="008A3D41"/>
    <w:rsid w:val="00A27C4C"/>
    <w:rsid w:val="00B76671"/>
    <w:rsid w:val="00BC1F2C"/>
    <w:rsid w:val="00BD4F4E"/>
    <w:rsid w:val="00D422E5"/>
    <w:rsid w:val="00E236C7"/>
    <w:rsid w:val="00F8723F"/>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3C3"/>
  </w:style>
  <w:style w:type="paragraph" w:styleId="Footer">
    <w:name w:val="footer"/>
    <w:basedOn w:val="Normal"/>
    <w:link w:val="FooterChar"/>
    <w:uiPriority w:val="99"/>
    <w:unhideWhenUsed/>
    <w:rsid w:val="00662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3C3"/>
  </w:style>
  <w:style w:type="character" w:styleId="Hyperlink">
    <w:name w:val="Hyperlink"/>
    <w:basedOn w:val="DefaultParagraphFont"/>
    <w:uiPriority w:val="99"/>
    <w:unhideWhenUsed/>
    <w:rsid w:val="00E236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3C3"/>
  </w:style>
  <w:style w:type="paragraph" w:styleId="Footer">
    <w:name w:val="footer"/>
    <w:basedOn w:val="Normal"/>
    <w:link w:val="FooterChar"/>
    <w:uiPriority w:val="99"/>
    <w:unhideWhenUsed/>
    <w:rsid w:val="00662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3C3"/>
  </w:style>
  <w:style w:type="character" w:styleId="Hyperlink">
    <w:name w:val="Hyperlink"/>
    <w:basedOn w:val="DefaultParagraphFont"/>
    <w:uiPriority w:val="99"/>
    <w:unhideWhenUsed/>
    <w:rsid w:val="00E236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markets.com/glossary/special-enrollment-perio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althcare.gov/unemployed/coverage/"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ealthinsurance.org/special-enrollment-guide/involuntary-loss-of-coverage-is-a-qualifying-event/" TargetMode="External"/><Relationship Id="rId4" Type="http://schemas.openxmlformats.org/officeDocument/2006/relationships/webSettings" Target="webSettings.xml"/><Relationship Id="rId9" Type="http://schemas.openxmlformats.org/officeDocument/2006/relationships/hyperlink" Target="https://www.medicaid.gov/medicaid/eligibility/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2019-05-13T19:45:00Z</dcterms:created>
  <dcterms:modified xsi:type="dcterms:W3CDTF">2019-05-13T19:48:00Z</dcterms:modified>
</cp:coreProperties>
</file>